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lineRule="auto" w:line="240" w:before="0" w:after="0"/>
        <w:jc w:val="right"/>
        <w:rPr>
          <w:rFonts w:ascii="Times New Roman" w:hAnsi="Times New Roman" w:cs="Times New Roman"/>
        </w:rPr>
      </w:pPr>
      <w:bookmarkStart w:id="0" w:name="_GoBack"/>
      <w:r>
        <w:rPr>
          <w:rFonts w:cs="Times New Roman" w:ascii="Times New Roman" w:hAnsi="Times New Roman"/>
        </w:rPr>
        <w:t xml:space="preserve">Приложение </w:t>
      </w:r>
      <w:r>
        <w:rPr>
          <w:rFonts w:cs="Times New Roman" w:ascii="Times New Roman" w:hAnsi="Times New Roman"/>
          <w:lang w:val="en-US"/>
        </w:rPr>
        <w:t>6</w:t>
      </w:r>
      <w:r>
        <w:rPr>
          <w:rFonts w:cs="Times New Roman" w:ascii="Times New Roman" w:hAnsi="Times New Roman"/>
        </w:rPr>
        <w:t xml:space="preserve"> к протоколу Правления</w:t>
      </w:r>
    </w:p>
    <w:p>
      <w:pPr>
        <w:pStyle w:val="Normal"/>
        <w:suppressAutoHyphens w:val="false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ПАО «РусГидро» от 14.11.2025 № 1577пр</w:t>
      </w:r>
      <w:bookmarkEnd w:id="0"/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535" w:leader="none"/>
        </w:tabs>
        <w:spacing w:lineRule="auto" w:line="240" w:before="20" w:after="2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Политика Группы РусГидро</w:t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области охраны труда </w:t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cs="Times New Roman" w:ascii="Times New Roman" w:hAnsi="Times New Roman"/>
          <w:sz w:val="36"/>
          <w:szCs w:val="28"/>
        </w:rPr>
      </w:r>
      <w:r>
        <w:br w:type="page"/>
      </w:r>
    </w:p>
    <w:p>
      <w:pPr>
        <w:pStyle w:val="IntenseQuote"/>
        <w:pBdr>
          <w:top w:val="nil"/>
          <w:bottom w:val="nil"/>
        </w:pBdr>
        <w:ind w:left="0" w:right="864" w:hanging="0"/>
        <w:rPr>
          <w:rFonts w:ascii="Times New Roman" w:hAnsi="Times New Roman"/>
          <w:i w:val="false"/>
          <w:i w:val="false"/>
          <w:iCs w:val="false"/>
          <w:color w:val="000000"/>
          <w:sz w:val="28"/>
          <w:szCs w:val="28"/>
        </w:rPr>
      </w:pPr>
      <w:r>
        <w:rPr>
          <w:rFonts w:ascii="Times New Roman" w:hAnsi="Times New Roman"/>
          <w:i w:val="false"/>
          <w:iCs w:val="false"/>
          <w:color w:val="000000"/>
          <w:sz w:val="28"/>
          <w:szCs w:val="28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>
              <w:i/>
              <w:i/>
            </w:rPr>
          </w:pPr>
          <w:r>
            <w:fldChar w:fldCharType="begin"/>
          </w:r>
          <w:r>
            <w:rPr>
              <w:webHidden/>
              <w:rStyle w:val="Style16"/>
              <w:sz w:val="28"/>
              <w:szCs w:val="28"/>
              <w:vanish w:val="false"/>
              <w:rFonts w:cs="Times New Roman" w:ascii="Times New Roman" w:hAnsi="Times New Roman"/>
              <w:lang w:eastAsia="ru-RU"/>
            </w:rPr>
            <w:instrText xml:space="preserve"> TOC \z \f \o "1-3" \u \h</w:instrText>
          </w:r>
          <w:r>
            <w:rPr>
              <w:webHidden/>
              <w:rStyle w:val="Style16"/>
              <w:sz w:val="28"/>
              <w:szCs w:val="28"/>
              <w:vanish w:val="false"/>
              <w:rFonts w:cs="Times New Roman" w:ascii="Times New Roman" w:hAnsi="Times New Roman"/>
              <w:lang w:eastAsia="ru-RU"/>
            </w:rPr>
            <w:fldChar w:fldCharType="separate"/>
          </w:r>
          <w:hyperlink w:anchor="__RefHeading___Toc213247460">
            <w:r>
              <w:rPr>
                <w:webHidden/>
                <w:rStyle w:val="Style16"/>
                <w:rFonts w:cs="Times New Roman" w:ascii="Times New Roman" w:hAnsi="Times New Roman"/>
                <w:vanish w:val="false"/>
                <w:sz w:val="28"/>
                <w:szCs w:val="28"/>
                <w:lang w:eastAsia="ru-RU"/>
              </w:rPr>
              <w:t>1.</w:t>
            </w:r>
            <w:r>
              <w:rPr>
                <w:rStyle w:val="Style16"/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ВВЕДЕНИЕ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val="en-US" w:eastAsia="ru-RU"/>
              </w:rPr>
              <w:t>……………………………………………………………………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3</w:t>
            </w:r>
          </w:hyperlink>
        </w:p>
        <w:p>
          <w:pPr>
            <w:pStyle w:val="TOC1"/>
            <w:tabs>
              <w:tab w:val="left" w:pos="284" w:leader="none"/>
              <w:tab w:val="left" w:pos="660" w:leader="none"/>
              <w:tab w:val="left" w:pos="2718" w:leader="none"/>
            </w:tabs>
            <w:jc w:val="both"/>
            <w:rPr/>
          </w:pPr>
          <w:hyperlink w:anchor="__RefHeading___Toc213247461">
            <w:r>
              <w:rPr>
                <w:webHidden/>
                <w:rStyle w:val="Style16"/>
                <w:rFonts w:cs="Times New Roman" w:ascii="Times New Roman" w:hAnsi="Times New Roman"/>
                <w:vanish w:val="false"/>
                <w:sz w:val="28"/>
                <w:szCs w:val="28"/>
                <w:lang w:eastAsia="ru-RU"/>
              </w:rPr>
              <w:t>1.1.</w:t>
            </w:r>
            <w:r>
              <w:rPr>
                <w:rStyle w:val="Style16"/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СПЕЦИФИКА ДЕЯТЕЛЬНОСТИ ГРУППЫ РУСГИДРО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val="en-US" w:eastAsia="ru-RU"/>
              </w:rPr>
              <w:t>……………...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3</w:t>
            </w:r>
          </w:hyperlink>
        </w:p>
        <w:p>
          <w:pPr>
            <w:pStyle w:val="TOC1"/>
            <w:tabs>
              <w:tab w:val="left" w:pos="284" w:leader="none"/>
              <w:tab w:val="left" w:pos="660" w:leader="none"/>
              <w:tab w:val="left" w:pos="2718" w:leader="none"/>
            </w:tabs>
            <w:jc w:val="both"/>
            <w:rPr/>
          </w:pPr>
          <w:hyperlink w:anchor="__RefHeading___Toc213247462">
            <w:r>
              <w:rPr>
                <w:webHidden/>
                <w:rStyle w:val="Style16"/>
                <w:rFonts w:cs="Times New Roman" w:ascii="Times New Roman" w:hAnsi="Times New Roman"/>
                <w:vanish w:val="false"/>
                <w:sz w:val="28"/>
                <w:szCs w:val="28"/>
                <w:lang w:eastAsia="ru-RU"/>
              </w:rPr>
              <w:t>1.2.</w:t>
            </w:r>
            <w:r>
              <w:rPr>
                <w:rStyle w:val="Style16"/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ОСНОВНЫЕ ОПАСНЫЕ И ВРЕДНЫЕ ПРОИЗВОДСТВЕННЫЕ ФАКТОРЫ, А ТАКЖЕ ОПАСНОСТИ, СВЯЗАННЫЕ СО СПЕЦИФИКОЙ ДЕЯТЕЛЬНОСТИ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val="en-US" w:eastAsia="ru-RU"/>
              </w:rPr>
              <w:t>…………………………………………………………………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3</w:t>
            </w:r>
          </w:hyperlink>
        </w:p>
        <w:p>
          <w:pPr>
            <w:pStyle w:val="TOC1"/>
            <w:jc w:val="both"/>
            <w:rPr/>
          </w:pPr>
          <w:hyperlink w:anchor="__RefHeading___Toc213247463">
            <w:r>
              <w:rPr>
                <w:webHidden/>
                <w:rStyle w:val="Style16"/>
                <w:rFonts w:cs="Times New Roman" w:ascii="Times New Roman" w:hAnsi="Times New Roman"/>
                <w:vanish w:val="false"/>
                <w:sz w:val="28"/>
                <w:szCs w:val="28"/>
                <w:lang w:eastAsia="ru-RU"/>
              </w:rPr>
              <w:t>2.</w:t>
            </w:r>
            <w:r>
              <w:rPr>
                <w:rStyle w:val="Style16"/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ПОРЯДОК ФОРМИРОВАНИЯ ПОЛИТИКИ И ВНЕСЕНИЯ В НЕЕ ИЗМЕНЕНИЙ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val="en-US" w:eastAsia="ru-RU"/>
              </w:rPr>
              <w:t>……………………………………………………………………..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5</w:t>
            </w:r>
          </w:hyperlink>
        </w:p>
        <w:p>
          <w:pPr>
            <w:pStyle w:val="TOC1"/>
            <w:jc w:val="both"/>
            <w:rPr/>
          </w:pPr>
          <w:hyperlink w:anchor="__RefHeading___Toc213247464">
            <w:r>
              <w:rPr>
                <w:webHidden/>
                <w:rStyle w:val="Style16"/>
                <w:rFonts w:cs="Times New Roman" w:ascii="Times New Roman" w:hAnsi="Times New Roman"/>
                <w:vanish w:val="false"/>
                <w:sz w:val="28"/>
                <w:szCs w:val="28"/>
                <w:lang w:eastAsia="ru-RU"/>
              </w:rPr>
              <w:t>3.</w:t>
            </w:r>
            <w:r>
              <w:rPr>
                <w:rStyle w:val="Style16"/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ОБЩИЕ ПОЛОЖЕНИЯ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val="en-US" w:eastAsia="ru-RU"/>
              </w:rPr>
              <w:t>………………………………………………………..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5</w:t>
            </w:r>
          </w:hyperlink>
        </w:p>
        <w:p>
          <w:pPr>
            <w:pStyle w:val="TOC1"/>
            <w:jc w:val="both"/>
            <w:rPr/>
          </w:pPr>
          <w:hyperlink w:anchor="__RefHeading___Toc213247465">
            <w:r>
              <w:rPr>
                <w:webHidden/>
                <w:rStyle w:val="Style16"/>
                <w:rFonts w:cs="Times New Roman" w:ascii="Times New Roman" w:hAnsi="Times New Roman"/>
                <w:vanish w:val="false"/>
                <w:sz w:val="28"/>
                <w:szCs w:val="28"/>
                <w:lang w:eastAsia="ru-RU"/>
              </w:rPr>
              <w:t>4.</w:t>
            </w:r>
            <w:r>
              <w:rPr>
                <w:rStyle w:val="Style16"/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ЦЕЛИ В ОБЛАСТИ ОХРАНЫ ТРУДА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val="en-US" w:eastAsia="ru-RU"/>
              </w:rPr>
              <w:t>………………………………………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6</w:t>
            </w:r>
          </w:hyperlink>
        </w:p>
        <w:p>
          <w:pPr>
            <w:pStyle w:val="TOC1"/>
            <w:jc w:val="both"/>
            <w:rPr/>
          </w:pPr>
          <w:hyperlink w:anchor="__RefHeading___Toc213247466">
            <w:r>
              <w:rPr>
                <w:webHidden/>
                <w:rStyle w:val="Style16"/>
                <w:rFonts w:eastAsia="Batang;바탕" w:cs="Times New Roman" w:ascii="Times New Roman" w:hAnsi="Times New Roman"/>
                <w:vanish w:val="false"/>
                <w:sz w:val="28"/>
                <w:szCs w:val="28"/>
                <w:lang w:eastAsia="ru-RU"/>
              </w:rPr>
              <w:t>5.</w:t>
            </w:r>
            <w:r>
              <w:rPr>
                <w:rStyle w:val="Style16"/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ОСНОВНЫЕ ПРИНЦИПЫ В ОБЛАСТИ ОХРАНЫ ТРУДА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val="en-US" w:eastAsia="ru-RU"/>
              </w:rPr>
              <w:t>………………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6</w:t>
            </w:r>
          </w:hyperlink>
        </w:p>
        <w:p>
          <w:pPr>
            <w:pStyle w:val="TOC1"/>
            <w:jc w:val="both"/>
            <w:rPr/>
          </w:pPr>
          <w:hyperlink w:anchor="__RefHeading___Toc213247467">
            <w:r>
              <w:rPr>
                <w:webHidden/>
                <w:rStyle w:val="Style16"/>
                <w:rFonts w:eastAsia="Batang;바탕" w:cs="Times New Roman" w:ascii="Times New Roman" w:hAnsi="Times New Roman"/>
                <w:vanish w:val="false"/>
                <w:sz w:val="28"/>
                <w:szCs w:val="28"/>
                <w:lang w:eastAsia="ru-RU"/>
              </w:rPr>
              <w:t>6.</w:t>
            </w:r>
          </w:hyperlink>
          <w:r>
            <w:rPr>
              <w:rFonts w:eastAsia="Times New Roman" w:cs="Times New Roman" w:ascii="Times New Roman" w:hAnsi="Times New Roman"/>
              <w:sz w:val="28"/>
              <w:szCs w:val="28"/>
              <w:lang w:eastAsia="ru-RU"/>
            </w:rPr>
            <w:tab/>
          </w:r>
          <w:r>
            <w:rPr>
              <w:rFonts w:cs="Times New Roman" w:ascii="Times New Roman" w:hAnsi="Times New Roman"/>
              <w:sz w:val="28"/>
              <w:szCs w:val="28"/>
              <w:lang w:eastAsia="ru-RU"/>
            </w:rPr>
            <w:t>ОБЯЗАТЕЛЬСТВА В ОБЛАСТИ ОХРАНЫ ТРУДА………………………..6</w:t>
          </w:r>
        </w:p>
        <w:p>
          <w:pPr>
            <w:pStyle w:val="TOC1"/>
            <w:jc w:val="both"/>
            <w:rPr/>
          </w:pPr>
          <w:hyperlink w:anchor="__RefHeading___Toc213247468">
            <w:r>
              <w:rPr>
                <w:webHidden/>
                <w:rStyle w:val="Style16"/>
                <w:rFonts w:cs="Times New Roman" w:ascii="Times New Roman" w:hAnsi="Times New Roman"/>
                <w:vanish w:val="false"/>
                <w:sz w:val="28"/>
                <w:szCs w:val="28"/>
                <w:lang w:eastAsia="ru-RU"/>
              </w:rPr>
              <w:t>7.</w:t>
            </w:r>
          </w:hyperlink>
          <w:r>
            <w:rPr>
              <w:rFonts w:eastAsia="Times New Roman" w:cs="Times New Roman" w:ascii="Times New Roman" w:hAnsi="Times New Roman"/>
              <w:sz w:val="28"/>
              <w:szCs w:val="28"/>
              <w:lang w:eastAsia="ru-RU"/>
            </w:rPr>
            <w:tab/>
          </w:r>
          <w:r>
            <w:rPr>
              <w:rFonts w:cs="Times New Roman" w:ascii="Times New Roman" w:hAnsi="Times New Roman"/>
              <w:sz w:val="28"/>
              <w:szCs w:val="28"/>
              <w:lang w:eastAsia="ru-RU"/>
            </w:rPr>
            <w:t>РЕАЛИЗАЦИЯ ПОЛИТИКИ</w:t>
          </w:r>
          <w:r>
            <w:rPr>
              <w:rFonts w:cs="Times New Roman" w:ascii="Times New Roman" w:hAnsi="Times New Roman"/>
              <w:sz w:val="28"/>
              <w:szCs w:val="28"/>
              <w:lang w:val="en-US" w:eastAsia="ru-RU"/>
            </w:rPr>
            <w:t>………………………………………………….</w:t>
          </w:r>
          <w:r>
            <w:rPr>
              <w:rFonts w:cs="Times New Roman" w:ascii="Times New Roman" w:hAnsi="Times New Roman"/>
              <w:sz w:val="28"/>
              <w:szCs w:val="28"/>
              <w:lang w:eastAsia="ru-RU"/>
            </w:rPr>
            <w:t>8</w:t>
          </w:r>
        </w:p>
        <w:p>
          <w:pPr>
            <w:pStyle w:val="TOC1"/>
            <w:jc w:val="both"/>
            <w:rPr/>
          </w:pPr>
          <w:hyperlink w:anchor="__RefHeading___Toc213247469">
            <w:r>
              <w:rPr>
                <w:webHidden/>
                <w:rStyle w:val="Style16"/>
                <w:rFonts w:cs="Times New Roman" w:ascii="Times New Roman" w:hAnsi="Times New Roman"/>
                <w:vanish w:val="false"/>
                <w:sz w:val="28"/>
                <w:szCs w:val="28"/>
                <w:lang w:eastAsia="ru-RU"/>
              </w:rPr>
              <w:t>8.</w:t>
            </w:r>
            <w:r>
              <w:rPr>
                <w:rStyle w:val="Style16"/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ИНФОРМИРОВАНИЕ ОБ ОСНОВНЫХ ПОЛОЖЕНИЯХ ПОЛИТИКИ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val="en-US" w:eastAsia="ru-RU"/>
              </w:rPr>
              <w:t>……………………………………………………………………….</w:t>
            </w:r>
            <w:r>
              <w:rPr>
                <w:rStyle w:val="Style16"/>
                <w:rFonts w:cs="Times New Roman" w:ascii="Times New Roman" w:hAnsi="Times New Roman"/>
                <w:sz w:val="28"/>
                <w:szCs w:val="28"/>
                <w:lang w:eastAsia="ru-RU"/>
              </w:rPr>
              <w:t>9</w:t>
            </w:r>
          </w:hyperlink>
          <w:r>
            <w:rPr>
              <w:rStyle w:val="Style16"/>
              <w:sz w:val="28"/>
              <w:szCs w:val="28"/>
              <w:rFonts w:cs="Times New Roman" w:ascii="Times New Roman" w:hAnsi="Times New Roman"/>
              <w:lang w:eastAsia="ru-RU"/>
            </w:rPr>
            <w:fldChar w:fldCharType="end"/>
          </w:r>
        </w:p>
      </w:sdtContent>
    </w:sdt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  <w:r>
        <w:br w:type="page"/>
      </w:r>
    </w:p>
    <w:p>
      <w:pPr>
        <w:pStyle w:val="Heading1"/>
        <w:numPr>
          <w:ilvl w:val="0"/>
          <w:numId w:val="3"/>
        </w:numPr>
        <w:tabs>
          <w:tab w:val="clear" w:pos="708"/>
          <w:tab w:val="left" w:pos="1276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__RefHeading___Toc213247460"/>
      <w:bookmarkEnd w:id="1"/>
      <w:r>
        <w:rPr>
          <w:rFonts w:ascii="Times New Roman" w:hAnsi="Times New Roman"/>
          <w:b w:val="false"/>
          <w:sz w:val="28"/>
          <w:szCs w:val="28"/>
        </w:rPr>
        <w:t>ВВЕДЕНИЕ</w:t>
      </w:r>
    </w:p>
    <w:p>
      <w:pPr>
        <w:pStyle w:val="NormalWeb"/>
        <w:shd w:val="clear" w:color="auto" w:fill="FFFFFF"/>
        <w:spacing w:before="12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Политика Группы РусГидро в области охраны труда (далее – Политика) определяет совокупность выбранных принципов, методов и ограничений ведения деятельности в целях минимизации рисков, связанных с травматизмом, профессиональными заболеваниями работников и обеспечения эффективности выполнения бизнес-процессов Группы РусГидро. </w:t>
      </w:r>
    </w:p>
    <w:p>
      <w:pPr>
        <w:pStyle w:val="Heading1"/>
        <w:numPr>
          <w:ilvl w:val="0"/>
          <w:numId w:val="5"/>
        </w:numPr>
        <w:ind w:left="993" w:hanging="284"/>
        <w:jc w:val="both"/>
        <w:rPr>
          <w:sz w:val="28"/>
          <w:szCs w:val="28"/>
        </w:rPr>
      </w:pPr>
      <w:bookmarkStart w:id="2" w:name="__RefHeading___Toc213247461"/>
      <w:bookmarkEnd w:id="2"/>
      <w:r>
        <w:rPr>
          <w:rFonts w:ascii="Times New Roman" w:hAnsi="Times New Roman"/>
          <w:b w:val="false"/>
          <w:sz w:val="28"/>
          <w:szCs w:val="28"/>
        </w:rPr>
        <w:t>СПЕЦИФИКА ДЕЯТЕЛЬНОСТИ ГРУППЫ РУСГИДРО</w:t>
      </w:r>
    </w:p>
    <w:p>
      <w:pPr>
        <w:pStyle w:val="NormalWeb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Публичное акционерное общество «Федеральная гидрогенерирующая компания – РусГидро» (ПАО «РусГидро»)</w:t>
      </w:r>
      <w:r>
        <w:rPr>
          <w:rStyle w:val="FootnoteReference"/>
          <w:sz w:val="28"/>
          <w:szCs w:val="28"/>
        </w:rPr>
        <w:footnoteReference w:id="2"/>
      </w:r>
      <w:r>
        <w:rPr>
          <w:sz w:val="28"/>
          <w:szCs w:val="28"/>
        </w:rPr>
        <w:t xml:space="preserve"> – крупнейший российский холдинг </w:t>
        <w:br/>
        <w:t xml:space="preserve">в области энергетики, первая в стране и третья в мире компания в отрасли гидроэнергетики. </w:t>
      </w:r>
    </w:p>
    <w:p>
      <w:pPr>
        <w:pStyle w:val="NormalWeb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Группы РусГидро также входят компании, осуществляющие производство, передачу, распределение электрической и тепловой энергии, строительную, ремонтную и сервисную деятельность, научно-проектные институты и гарантирующие поставщики электроэнергии.</w:t>
      </w:r>
    </w:p>
    <w:p>
      <w:pPr>
        <w:pStyle w:val="NormalWeb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Установленная мощность электростанций Группы РусГидро составляет порядка 40 ГВт. На текущий момент Группа РусГидро эксплуатирует более </w:t>
        <w:br/>
        <w:t xml:space="preserve">400 объектов генерации. </w:t>
      </w:r>
    </w:p>
    <w:p>
      <w:pPr>
        <w:pStyle w:val="NormalWeb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Группа РусГидро является лидером по производству энергии на базе возобновляемых источников энергии: водных потоков, солнца, ветра и геотермальной энергии.</w:t>
      </w:r>
    </w:p>
    <w:p>
      <w:pPr>
        <w:pStyle w:val="NormalWeb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Общества с подконтрольными организациями в области охраны труда направлено на: 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реализацию стратегии развития Группы РусГидро; 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стабильного экономического развития и инвестиционной привлекательности Группы РусГидро;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защиту прав и интересов работников как самого Общества, так и его подконтрольных организаций.</w:t>
      </w:r>
    </w:p>
    <w:p>
      <w:pPr>
        <w:pStyle w:val="Heading1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__RefHeading___Toc213247462"/>
      <w:bookmarkEnd w:id="3"/>
      <w:r>
        <w:rPr>
          <w:rFonts w:ascii="Times New Roman" w:hAnsi="Times New Roman"/>
          <w:b w:val="false"/>
          <w:sz w:val="28"/>
          <w:szCs w:val="28"/>
        </w:rPr>
        <w:t xml:space="preserve">ОСНОВНЫЕ ОПАСНЫЕ И ВРЕДНЫЕ ПРОИЗВОДСТВЕННЫЕ ФАКТОРЫ, А ТАКЖЕ ОПАСНОСТИ, СВЯЗАННЫЕ СО СПЕЦИФИКОЙ ДЕЯТЕЛЬНОСТИ 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Специфика деятельности Группы РусГидро (производство электрической и тепловой энергии; передача, распределение и сбыт электрической и тепловой энергии; ремонтно-сервисное обслуживание; осуществление строительно-монтажных работ) связана с воздействием на персонал следующих опасных и вредных производственных факторов:  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 xml:space="preserve">электрический ток </w:t>
      </w:r>
      <w:r>
        <w:rPr>
          <w:sz w:val="28"/>
          <w:szCs w:val="28"/>
        </w:rPr>
        <w:t xml:space="preserve">– поражение опасным уровнем напряжения при прикосновении или приближении на недопустимое расстояние к токоведущим частям оборудования приводит к смертельному исходу, оказывает электрохимическое, биологическое, термическое воздействие электрической дуги; 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высокая температура, в том числе при пожаре</w:t>
      </w:r>
      <w:r>
        <w:rPr>
          <w:sz w:val="28"/>
          <w:szCs w:val="28"/>
        </w:rPr>
        <w:t xml:space="preserve"> – ожоги вследствие воздействия на тело работника рабочей среды (вода, пар, газ) и контакта с неизолированной поверхностью оборудования температурой более 42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С; 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перепады по высоте</w:t>
      </w:r>
      <w:r>
        <w:rPr>
          <w:sz w:val="28"/>
          <w:szCs w:val="28"/>
        </w:rPr>
        <w:t xml:space="preserve"> – при выполнении работ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падение работника с высоты или падения предметов на работника по причине расположения рабочего места на высоте от земли, пола или другой поверхности более 1,8 м; 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 xml:space="preserve">производственное оборудование, элементы конструкций зданий и сооружений </w:t>
      </w:r>
      <w:r>
        <w:rPr>
          <w:sz w:val="28"/>
          <w:szCs w:val="28"/>
        </w:rPr>
        <w:t>(далее – ЗиС) – поражение работника движущимися, незащищенными частями оборудования, удары о неподвижные элементы конструкции. В результате разрушения оборудования или обрушения ЗиС возникает поражение работника: ударной волной, в том числе в результате детонации взрывоопасных смесей газов, при выбросе (прорыве) под давлением жидкости, пара или газа, фрагментами оборудования и инструментами; затопления помещений, в которых производятся работы;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акватория воды (</w:t>
      </w:r>
      <w:r>
        <w:rPr>
          <w:i/>
          <w:iCs/>
          <w:sz w:val="28"/>
          <w:szCs w:val="28"/>
        </w:rPr>
        <w:t>глубина воды, волнение водной поверхности</w:t>
      </w:r>
      <w:r>
        <w:rPr>
          <w:i/>
          <w:sz w:val="28"/>
          <w:szCs w:val="28"/>
        </w:rPr>
        <w:t xml:space="preserve">) </w:t>
      </w:r>
      <w:r>
        <w:rPr>
          <w:sz w:val="28"/>
          <w:szCs w:val="28"/>
        </w:rPr>
        <w:t xml:space="preserve">– утопление или травмирование работника при работах вблизи воды (на воде), выполнение водолазных работ по обслуживанию гидротехнических сооружений; 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 xml:space="preserve">автомобильный транспорт </w:t>
      </w:r>
      <w:r>
        <w:rPr>
          <w:sz w:val="28"/>
          <w:szCs w:val="28"/>
        </w:rPr>
        <w:t xml:space="preserve">– травмирование работников в результате дорожно-транспортных происшествий; 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опасности, связанные с воздействием на работников животных,</w:t>
        <w:br/>
        <w:t>в том числе насекомых</w:t>
      </w:r>
      <w:r>
        <w:rPr>
          <w:sz w:val="28"/>
          <w:szCs w:val="28"/>
        </w:rPr>
        <w:t xml:space="preserve"> – укусы и разрывы, заражения;</w:t>
      </w:r>
      <w:r>
        <w:rPr>
          <w:i/>
          <w:sz w:val="28"/>
          <w:szCs w:val="28"/>
        </w:rPr>
        <w:t xml:space="preserve"> 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токсичные газы и вещества</w:t>
      </w:r>
      <w:r>
        <w:rPr>
          <w:sz w:val="28"/>
          <w:szCs w:val="28"/>
        </w:rPr>
        <w:t xml:space="preserve"> – отравление газообразными веществами общетоксического и другого вредного воздействия (аммиак, хлор и другие сжатые, сжиженные и растворенные газы) в результате утечки из баллонов, бочек, цистерн, газопроводов;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электромагнитные поля промышленных частот</w:t>
      </w:r>
      <w:r>
        <w:rPr>
          <w:sz w:val="28"/>
          <w:szCs w:val="28"/>
        </w:rPr>
        <w:t xml:space="preserve"> – длительное и регулярное воздействие может привести к повышенной утомляемости, нарушению сна, головным болям, снижению давления, снижению частоты пульса; нарушениям в иммунной, нервной, эндокринной, сердечно-сосудистой системах; развитию онкологических заболеваний; развитию заболеваний центральной нервной системы;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недостаточная освещенность рабочей зоны</w:t>
      </w:r>
      <w:r>
        <w:rPr>
          <w:sz w:val="28"/>
          <w:szCs w:val="28"/>
        </w:rPr>
        <w:t xml:space="preserve"> – может привести к заболеваниям органов зрения;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повышенная запыленность воздуха в рабочей зоне, в том числе воздействие аэрозолей преимущественно фиброгенного действия, угольной пыли</w:t>
      </w:r>
      <w:r>
        <w:rPr>
          <w:sz w:val="28"/>
          <w:szCs w:val="28"/>
        </w:rPr>
        <w:t xml:space="preserve"> – может привести к заболеваниям органов дыхания;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повышенный уровень шума и общей вибрации</w:t>
      </w:r>
      <w:r>
        <w:rPr>
          <w:sz w:val="28"/>
          <w:szCs w:val="28"/>
        </w:rPr>
        <w:t xml:space="preserve"> (в машинных залах, компрессорных и других помещениях и сооружениях)</w:t>
      </w:r>
      <w:bookmarkStart w:id="4" w:name="f424f"/>
      <w:bookmarkEnd w:id="4"/>
      <w:r>
        <w:rPr>
          <w:sz w:val="28"/>
          <w:szCs w:val="28"/>
        </w:rPr>
        <w:t xml:space="preserve"> – может привести к заболеваниям органов слуха и организма в целом, утомляемости, снижению реакций человека;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="0" w:after="0"/>
        <w:ind w:left="0" w:firstLine="709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пониженная или повышенная температура воздуха в производственных помещениях или на открытой территории, повышенная влажность воздуха</w:t>
      </w:r>
      <w:r>
        <w:rPr>
          <w:sz w:val="28"/>
          <w:szCs w:val="28"/>
        </w:rPr>
        <w:t xml:space="preserve"> – может привести к обморожению; тепловым ударам. </w:t>
      </w:r>
      <w:bookmarkStart w:id="5" w:name="2552c"/>
      <w:bookmarkEnd w:id="5"/>
    </w:p>
    <w:p>
      <w:pPr>
        <w:pStyle w:val="Normal"/>
        <w:spacing w:lineRule="auto" w:line="240" w:before="0" w:after="0"/>
        <w:ind w:left="709" w:hanging="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Heading1"/>
        <w:numPr>
          <w:ilvl w:val="0"/>
          <w:numId w:val="3"/>
        </w:numPr>
        <w:tabs>
          <w:tab w:val="clear" w:pos="708"/>
          <w:tab w:val="left" w:pos="1276" w:leader="none"/>
        </w:tabs>
        <w:spacing w:lineRule="auto" w:line="240" w:before="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" w:name="__RefHeading___Toc213247463"/>
      <w:bookmarkEnd w:id="6"/>
      <w:r>
        <w:rPr>
          <w:rFonts w:ascii="Times New Roman" w:hAnsi="Times New Roman"/>
          <w:b w:val="false"/>
          <w:sz w:val="28"/>
          <w:szCs w:val="28"/>
        </w:rPr>
        <w:t>ПОРЯДОК ФОРМИРОВАНИЯ ПОЛИТИКИ И ВНЕСЕНИЯ В НЕЕ ИЗМЕНЕНИЙ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Политика основана на Конституции Российской Федерации, государственной политике в области охраны труда, федеральных законах и иных нормативных правовых актах Российской Федерации, регулирующих безопасность труда, и международных договорах Российской Федерации в области труда.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Политика является составной частью системы управления охраной труда (далее – СУОТ), функционирование которой определено Трудовым кодексом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Политика подлежит пересмотру при изменении основных направлений производственной деятельности, которые влекут появление производственных рисков, связанных с новой спецификой деятельности Группы РусГидро, а также при достижении целей в области охраны труда и выполнении обязательств, заявленных в Политике, но не реже чем 1 раз в 5 лет.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Изменения в Политику вносятся решением Совета директоров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0"/>
        <w:ind w:left="720" w:hanging="11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__RefHeading___Toc213247464"/>
      <w:bookmarkEnd w:id="7"/>
      <w:r>
        <w:rPr>
          <w:rFonts w:ascii="Times New Roman" w:hAnsi="Times New Roman"/>
          <w:b w:val="false"/>
          <w:sz w:val="28"/>
          <w:szCs w:val="28"/>
        </w:rPr>
        <w:t>ОБЩИЕ ПОЛОЖЕНИЯ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Политика является публичной документированной декларацией Группы РусГидро о намерении и гарантированном выполнении обязательств по соблюдению государственных нормативных требований охраны труда и добровольно принятых обязательств.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Предметной областью Политики является охрана труда, определяемая как система сохранения жизни и здоровья работников в процессе трудовой деятельности, включающая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Политика определяет бизнес-процессы СУОТ.</w:t>
      </w:r>
      <w:r>
        <w:rPr>
          <w:rFonts w:cs="Times New Roman" w:ascii="Times New Roman" w:hAnsi="Times New Roman"/>
          <w:sz w:val="28"/>
          <w:szCs w:val="28"/>
        </w:rPr>
        <w:t xml:space="preserve"> Положения Политики реализуются путем выполнения регламентов, обеспечивающих функционирование СУОТ.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 xml:space="preserve">Политика распространяется на все управленческие и технологические процессы, производственные и технологические комплексы объектов Группы РусГидро.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>Политика является обязательной для исполнения всеми структурными подразделениями Общества, его филиалами и подконтрольными организациями, а также иными лицами,</w:t>
      </w: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 на которых могут распространяться производственные факторы объектов Группы РусГидро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Heading1"/>
        <w:numPr>
          <w:ilvl w:val="0"/>
          <w:numId w:val="3"/>
        </w:numPr>
        <w:spacing w:lineRule="auto" w:line="240" w:before="0" w:after="0"/>
        <w:ind w:left="720" w:hanging="11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" w:name="__RefHeading___Toc213247465"/>
      <w:bookmarkEnd w:id="8"/>
      <w:r>
        <w:rPr>
          <w:rFonts w:ascii="Times New Roman" w:hAnsi="Times New Roman"/>
          <w:b w:val="false"/>
          <w:sz w:val="28"/>
          <w:szCs w:val="28"/>
        </w:rPr>
        <w:t xml:space="preserve">ЦЕЛИ В ОБЛАСТИ ОХРАНЫ ТРУДА 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Основной целью Группы РусГидро в области охраны труда является сохранение жизни и здоровья работников в процессе трудовой деятельности посредством: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создания и поддержания безопасных условий труда на рабочих местах;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предупреждения производственного травматизма, профессиональных заболеваний и минимизация тяжести их последствий;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обеспечения выполнения нормативных требований охраны труда;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интеграция мероприятий по охране труда в общую концепцию развития Группы РусГидро;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оценки, управления и 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снижения профессиональных рисков.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На всех объектах Группы РусГидро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эффективности, стремящихся к нулевым уровням производственного травматизма.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</w:r>
    </w:p>
    <w:p>
      <w:pPr>
        <w:pStyle w:val="Heading1"/>
        <w:numPr>
          <w:ilvl w:val="0"/>
          <w:numId w:val="3"/>
        </w:numPr>
        <w:tabs>
          <w:tab w:val="clear" w:pos="708"/>
          <w:tab w:val="left" w:pos="1418" w:leader="none"/>
        </w:tabs>
        <w:spacing w:lineRule="auto" w:line="240" w:before="0" w:after="0"/>
        <w:ind w:left="720" w:hanging="11"/>
        <w:rPr>
          <w:rFonts w:ascii="Times New Roman" w:hAnsi="Times New Roman" w:eastAsia="Batang;바탕"/>
          <w:sz w:val="28"/>
          <w:szCs w:val="28"/>
          <w:lang w:eastAsia="ko-KR"/>
        </w:rPr>
      </w:pPr>
      <w:bookmarkStart w:id="9" w:name="__RefHeading___Toc213247466"/>
      <w:bookmarkEnd w:id="9"/>
      <w:r>
        <w:rPr>
          <w:rFonts w:ascii="Times New Roman" w:hAnsi="Times New Roman"/>
          <w:b w:val="false"/>
          <w:sz w:val="28"/>
          <w:szCs w:val="28"/>
        </w:rPr>
        <w:t>ОСНОВНЫЕ ПРИНЦИПЫ В ОБЛАСТИ ОХРАНЫ ТРУДА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Политика</w:t>
      </w: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 направлена на обеспечение исполнения следующих принципов: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приоритета сохранения жизни и здоровья работников перед результатами производственной деятельности;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лидерства руководства всех уровней управления в вопросах обеспечения безопасности труда и выполнения требований охраны труда;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нулевого порога терпимости к нарушениям требований производственной безопасности и правил охраны труда, а также к </w:t>
      </w:r>
      <w:r>
        <w:rPr>
          <w:rFonts w:cs="Times New Roman" w:ascii="Times New Roman" w:hAnsi="Times New Roman"/>
          <w:sz w:val="28"/>
          <w:szCs w:val="28"/>
        </w:rPr>
        <w:t>низкому уровню ответственности и неисполнению работником должностных обязанностей;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приоритета превентивных мер по отношению к реактивным мерам;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разграничения ответственности и функций субъектов управления охраной труда на всех уровнях управления;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постоянного улучшения деятельности в области охраны труда;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обеспечения безопасности персонала на основе управления рисками, связанными с выполняемой работой;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информационной открытости деятельности Группы РусГидро в области охраны труда;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0"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неукоснительного соблюдения нормативных требований охраны труда. </w:t>
      </w:r>
    </w:p>
    <w:p>
      <w:pPr>
        <w:pStyle w:val="ListParagraph"/>
        <w:spacing w:lineRule="auto" w:line="240" w:before="0" w:after="0"/>
        <w:ind w:left="709" w:hanging="0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</w:r>
    </w:p>
    <w:p>
      <w:pPr>
        <w:pStyle w:val="Heading1"/>
        <w:numPr>
          <w:ilvl w:val="0"/>
          <w:numId w:val="3"/>
        </w:numPr>
        <w:spacing w:lineRule="auto" w:line="240" w:before="0" w:after="0"/>
        <w:ind w:left="720" w:hanging="11"/>
        <w:rPr>
          <w:rFonts w:ascii="Times New Roman" w:hAnsi="Times New Roman" w:eastAsia="Batang;바탕"/>
          <w:sz w:val="28"/>
          <w:szCs w:val="28"/>
          <w:lang w:eastAsia="ko-KR"/>
        </w:rPr>
      </w:pPr>
      <w:bookmarkStart w:id="10" w:name="__RefHeading___Toc213247467"/>
      <w:bookmarkEnd w:id="10"/>
      <w:r>
        <w:rPr>
          <w:rFonts w:ascii="Times New Roman" w:hAnsi="Times New Roman"/>
          <w:b w:val="false"/>
          <w:sz w:val="28"/>
          <w:szCs w:val="28"/>
        </w:rPr>
        <w:t>ОБЯЗАТЕЛЬСТВА В ОБЛАСТИ ОХРАНЫ ТРУДА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В </w:t>
      </w:r>
      <w:r>
        <w:rPr>
          <w:rFonts w:cs="Times New Roman" w:ascii="Times New Roman" w:hAnsi="Times New Roman"/>
          <w:sz w:val="28"/>
          <w:szCs w:val="28"/>
          <w:lang w:eastAsia="ru-RU"/>
        </w:rPr>
        <w:t>производственной</w:t>
      </w: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 деятельности для достижения поставленных целей в области охраны труда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Группа РусГидро принимает на себя следующие обязательства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: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обеспечение соответствия условий труда на рабочих местах требованиям охраны труда;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color w:val="000000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выполнение последовательных и непрерывных мер (мероприятий) по предупреждению производственного травматизма и профессиональных заболеваний, в том числе посредством управления профессиональными рисками;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color w:val="000000"/>
          <w:sz w:val="28"/>
          <w:szCs w:val="28"/>
          <w:lang w:eastAsia="ko-KR"/>
        </w:rPr>
        <w:t>проведение</w:t>
      </w: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 оценки и разработка мероприятий по снижению профессиональных рисков, устранение опасностей;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создание условий по привлечению работников и их представительных органов к участию в управлении охраной труда, деятельности по исключению профессиональных рисков, производственного травматизма и профессиональных заболеваний, содействии в постоянном улучшении системы управления охраной труда и реализации Политики и поощрение такого участия;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применение принципа «нулевой порог терпимости к нарушениям требований производственной безопасности и правил охраны труда», в том числе к персональной ответственности каждого работника за несоблюдение требований безопасности и допущение нарушений, способных причинить ущерб здоровью и жизни работников;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обеспечение правом каждого работника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опасности, за исключением случаев, предусмотренных законодательством;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обеспечение гарантий безопасности и конфиденциальности работников при сообщении о любых происшествиях, способных причинить ущерб здоровью и жизни работников;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реализация системы мотивации, стимулирующей работников к безусловному соблюдению требований охраны труда;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обеспечение условий по снижению и исключению ошибок персонала, приводящих к травматизму;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обеспечение расследования каждого несчастного случая и профессионального заболевания, проведение анализа произошедших несчастных случаев на производстве с целью выявления истинных причин, поиска путей снижения травматизма и предотвращения подобных случаев; 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информирование работников и иных заинтересованных сторон, на которых могут распространяться производственные факторы объектов Группы РусГидро, об условиях труда и существующих рисках, о мерах по защите от воздействия вредных и опасных производственных факторах;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обеспечение функционирования единой скоординированной системы профессионального отбора и обучения кадров;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повышение уровня квалификации и подготовки работников в области охраны труда и безопасного производства работ, совершенствование системы обучения в области безопасного проведения работ; подготовка персонала к решению разнообразных задач в области охраны труда, обучение методам организации безопасных условий труда в соответствующих условиях;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пропаганда необходимости и значимости соблюдения требований охраны труда как фактора сохранения жизни и здоровья работников;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обеспечение функционирования систем контроля за условиями труда на рабочих местах, за выполнением нормативных требований в области охраны труда, в том числе подрядными организациями, выполняющими работы на объектах Группы РусГидро;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учет индивидуальных особенностей работников, в том числе посредством проектирования рабочих мест, выбора оборудования, инструментов, сырья и материалов, средств индивидуальной и коллективной защиты, построения производственных и технологических процессов;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применение современных, доступных технологий в сфере обеспечения безопасности труда;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 xml:space="preserve">проведение, стимулирование и внедрение результатов научных исследований, опытно-конструкторских разработок, направленных на повышение безопасности персонала; 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вывод из эксплуатации экономически неэффективного, физически и морально устаревшего энергетического оборудования с введением необходимого объема новых современных мощностей, внедрения и использования передовых технологий, обеспечивающих повышенный уровень безопасности при осуществлении производственной деятельности;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обеспечение качества ремонтов, проводимых на объектах Группы РусГидро, проведение своевременных ремонтов с целью повышения безопасности выполняемых работ;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обеспечение качества проектирования вновь вводимых объектов и оборудования, обеспечивающих безопасные условия труда, надежность работы оборудования;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обеспечение качественного отбора и выбора поставщиков/подрядчиков продукции, сырья и материалов, товаров, услуг, а также проводимых закупочных процедур, влияющих на безопасность персонала;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Batang;바탕" w:cs="Times New Roman"/>
          <w:sz w:val="28"/>
          <w:szCs w:val="28"/>
          <w:lang w:eastAsia="ko-K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обеспечение необходимыми организационными, финансовыми и материально-техническими ресурсами для реализации Политики;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shd w:fill="DEE7E5" w:val="clea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совершенствование нормативной базы путем разработки локальных нормативных документов (актов) в целях повышения безопасности труда.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shd w:fill="DEE7E5" w:val="clear"/>
        </w:rPr>
      </w:pP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Руководство Группы РусГидро гарантирует выполнение им обязанностей по соблюдению государственных нормативных требований охраны труда и добровольно принятых на себя обязательств, указанных в Политике.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shd w:fill="DEE7E5" w:val="clear"/>
        </w:rPr>
      </w:pPr>
      <w:r>
        <w:rPr>
          <w:rFonts w:cs="Times New Roman" w:ascii="Times New Roman" w:hAnsi="Times New Roman"/>
          <w:sz w:val="28"/>
          <w:szCs w:val="28"/>
          <w:shd w:fill="DEE7E5" w:val="clear"/>
        </w:rPr>
      </w:r>
    </w:p>
    <w:p>
      <w:pPr>
        <w:pStyle w:val="Heading1"/>
        <w:numPr>
          <w:ilvl w:val="0"/>
          <w:numId w:val="3"/>
        </w:numPr>
        <w:spacing w:lineRule="auto" w:line="240" w:before="0" w:after="0"/>
        <w:ind w:left="720" w:hanging="11"/>
        <w:rPr>
          <w:rFonts w:ascii="Times New Roman" w:hAnsi="Times New Roman"/>
          <w:sz w:val="28"/>
          <w:szCs w:val="28"/>
        </w:rPr>
      </w:pPr>
      <w:bookmarkStart w:id="11" w:name="__RefHeading___Toc213247468"/>
      <w:bookmarkEnd w:id="11"/>
      <w:r>
        <w:rPr>
          <w:rFonts w:ascii="Times New Roman" w:hAnsi="Times New Roman"/>
          <w:b w:val="false"/>
          <w:sz w:val="28"/>
          <w:szCs w:val="28"/>
        </w:rPr>
        <w:t>РЕАЛИЗАЦИЯ ПОЛИТИКИ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Политика является основой для формирования долгосрочных и краткосрочных целей в области охраны труда Группы РусГидро, анализа их выполнения и оценки результативности мероприятий по достижению указанных целей.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Политика должна приниматься во внимание при: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разработке программ (планов) по улучшению условий и охраны труда;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определении функциональных обязанностей и ответственности работников в рамках СУОТ;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разработке и реализации мер по обеспечению готовности и реагированию на аварийные и чрезвычайные ситуации;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проведении оценки результативности СУОТ;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принятии технических и управленческих решений, влияющих на обеспечение безопасности персонала.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положения Политики реализуются путем выполнения процедур (регламентов), обеспечивающих функционирование СУОТ, которые также направлены на достижение целей в области охраны труда.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Реализация Политики осуществляется также путем закрепления соответствующих обязательств и основных ее положений в договорах </w:t>
        <w:br/>
        <w:t>с подрядчиками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 поставщиками.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Распределение ресурсов при формировании планов в области охраны труда должно обеспечивать последовательное и полное выполнение требований Политики при осуществлении деятельности объектов Группы РусГидро при максимально возможной безопасности персонала.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1"/>
        <w:numPr>
          <w:ilvl w:val="0"/>
          <w:numId w:val="3"/>
        </w:numPr>
        <w:spacing w:lineRule="auto" w:line="240" w:before="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2" w:name="__RefHeading___Toc213247469"/>
      <w:bookmarkEnd w:id="12"/>
      <w:r>
        <w:rPr>
          <w:rFonts w:ascii="Times New Roman" w:hAnsi="Times New Roman"/>
          <w:b w:val="false"/>
          <w:sz w:val="28"/>
          <w:szCs w:val="28"/>
        </w:rPr>
        <w:t xml:space="preserve">ИНФОРМИРОВАНИЕ ОБ ОСНОВНЫХ ПОЛОЖЕНИЯХ ПОЛИТИКИ </w:t>
      </w:r>
    </w:p>
    <w:p>
      <w:pPr>
        <w:pStyle w:val="Normal"/>
        <w:spacing w:lineRule="auto" w:line="240"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Доведение основных положений Политики до работников Группы РусГидро, подрядчиков и иных лиц, на которых могут распространяться </w:t>
      </w:r>
      <w:r>
        <w:rPr>
          <w:rFonts w:eastAsia="Batang;바탕" w:cs="Times New Roman" w:ascii="Times New Roman" w:hAnsi="Times New Roman"/>
          <w:sz w:val="28"/>
          <w:szCs w:val="28"/>
          <w:lang w:eastAsia="ko-KR"/>
        </w:rPr>
        <w:t>производственные факторы объектов Группы РусГидро,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следующими способами: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размещением Политики в общедоступных местах и на информационных стендах объектов Группы РусГидро;  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размещением Политики на корпоративном сайте Общества; 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включением Политики в программу вводного инструктажа по охране труда;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закреплением соответствующих обязательств в части охраны труда и основных положений Политики в заключаемых договорах.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134" w:right="851" w:gutter="0" w:header="0" w:top="1134" w:footer="709" w:bottom="1134"/>
      <w:pgNumType w:start="1" w:fmt="decimal"/>
      <w:formProt w:val="false"/>
      <w:titlePg/>
      <w:textDirection w:val="lrTb"/>
      <w:docGrid w:type="default" w:linePitch="36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9084563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11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Далее также Общество.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701"/>
        </w:tabs>
        <w:ind w:left="2268" w:hanging="1134"/>
      </w:pPr>
      <w:rPr/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814" w:hanging="1134"/>
      </w:pPr>
      <w:rPr/>
    </w:lvl>
    <w:lvl w:ilvl="2">
      <w:start w:val="1"/>
      <w:numFmt w:val="bullet"/>
      <w:lvlText w:val=""/>
      <w:lvlJc w:val="left"/>
      <w:pPr>
        <w:tabs>
          <w:tab w:val="num" w:pos="2149"/>
        </w:tabs>
        <w:ind w:left="3686" w:hanging="567"/>
      </w:pPr>
      <w:rPr>
        <w:rFonts w:ascii="Symbol" w:hAnsi="Symbol" w:cs="Symbol" w:hint="default"/>
        <w:color w:val="000000"/>
      </w:rPr>
    </w:lvl>
    <w:lvl w:ilvl="3">
      <w:start w:val="1"/>
      <w:numFmt w:val="bullet"/>
      <w:lvlText w:val=""/>
      <w:lvlJc w:val="left"/>
      <w:pPr>
        <w:tabs>
          <w:tab w:val="num" w:pos="2869"/>
        </w:tabs>
        <w:ind w:left="6067" w:hanging="1134"/>
      </w:pPr>
      <w:rPr>
        <w:rFonts w:ascii="Symbol" w:hAnsi="Symbol" w:cs="Symbol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3949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389"/>
        </w:tabs>
        <w:ind w:left="4453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029" w:hanging="1440"/>
      </w:pPr>
      <w:rPr/>
    </w:lvl>
  </w:abstractNum>
  <w:abstractNum w:abstractNumId="5">
    <w:lvl w:ilvl="0">
      <w:start w:val="1"/>
      <w:numFmt w:val="decimal"/>
      <w:lvlText w:val="1.%1."/>
      <w:lvlJc w:val="left"/>
      <w:pPr>
        <w:tabs>
          <w:tab w:val="num" w:pos="0"/>
        </w:tabs>
        <w:ind w:left="1429" w:hanging="360"/>
      </w:pPr>
      <w:rPr>
        <w:b w:val="false"/>
        <w:bCs w:val="false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2SaWshpHQQd9yc7J7XyMww==" w:hash="oA2aPulV38LRUwPEO81Ea/ZqXAv4pGMHyZgZi7n/8osewj3KWLTcUaH3Wbc/BB3g9W2B8eHgzJb+gq53o+q7tw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523bb0"/>
    <w:rPr>
      <w:rFonts w:ascii="Segoe UI" w:hAnsi="Segoe UI" w:cs="Segoe UI"/>
      <w:sz w:val="18"/>
      <w:szCs w:val="18"/>
    </w:rPr>
  </w:style>
  <w:style w:type="character" w:styleId="Style9" w:customStyle="1">
    <w:name w:val="Нижний колонтитул Знак"/>
    <w:basedOn w:val="DefaultParagraphFont"/>
    <w:uiPriority w:val="99"/>
    <w:qFormat/>
    <w:rsid w:val="00d3773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TML" w:customStyle="1">
    <w:name w:val="Стандартный HTML Знак"/>
    <w:basedOn w:val="DefaultParagraphFont"/>
    <w:link w:val="HTMLPreformatted"/>
    <w:uiPriority w:val="99"/>
    <w:semiHidden/>
    <w:qFormat/>
    <w:rsid w:val="00024e90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0" w:customStyle="1">
    <w:name w:val="Текст сноски Знак"/>
    <w:basedOn w:val="DefaultParagraphFont"/>
    <w:uiPriority w:val="99"/>
    <w:semiHidden/>
    <w:qFormat/>
    <w:rsid w:val="00b27d80"/>
    <w:rPr>
      <w:sz w:val="20"/>
      <w:szCs w:val="20"/>
    </w:rPr>
  </w:style>
  <w:style w:type="character" w:styleId="Style11" w:customStyle="1">
    <w:name w:val="Символ сноски"/>
    <w:uiPriority w:val="99"/>
    <w:semiHidden/>
    <w:unhideWhenUsed/>
    <w:qFormat/>
    <w:rsid w:val="00b27d80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 w:customStyle="1">
    <w:name w:val="Верхний колонтитул Знак"/>
    <w:basedOn w:val="DefaultParagraphFont"/>
    <w:uiPriority w:val="99"/>
    <w:qFormat/>
    <w:rsid w:val="00b27d80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50b00"/>
    <w:rPr>
      <w:sz w:val="16"/>
      <w:szCs w:val="16"/>
    </w:rPr>
  </w:style>
  <w:style w:type="character" w:styleId="Style13" w:customStyle="1">
    <w:name w:val="Текст примечания Знак"/>
    <w:basedOn w:val="DefaultParagraphFont"/>
    <w:link w:val="Annotationtext"/>
    <w:uiPriority w:val="99"/>
    <w:semiHidden/>
    <w:qFormat/>
    <w:rsid w:val="00850b00"/>
    <w:rPr>
      <w:sz w:val="20"/>
      <w:szCs w:val="20"/>
    </w:rPr>
  </w:style>
  <w:style w:type="character" w:styleId="Style14" w:customStyle="1">
    <w:name w:val="Тема примечания Знак"/>
    <w:basedOn w:val="Style13"/>
    <w:link w:val="Annotationsubject"/>
    <w:uiPriority w:val="99"/>
    <w:semiHidden/>
    <w:qFormat/>
    <w:rsid w:val="00850b00"/>
    <w:rPr>
      <w:b/>
      <w:bCs/>
      <w:sz w:val="20"/>
      <w:szCs w:val="20"/>
    </w:rPr>
  </w:style>
  <w:style w:type="character" w:styleId="Linenumber1" w:customStyle="1">
    <w:name w:val="line number1"/>
    <w:qFormat/>
    <w:rPr/>
  </w:style>
  <w:style w:type="character" w:styleId="Linenumber2" w:customStyle="1">
    <w:name w:val="line number2"/>
    <w:qFormat/>
    <w:rPr/>
  </w:style>
  <w:style w:type="character" w:styleId="Hyperlink">
    <w:name w:val="Hyperlink"/>
    <w:uiPriority w:val="99"/>
    <w:rPr>
      <w:color w:val="000080"/>
      <w:u w:val="single"/>
    </w:rPr>
  </w:style>
  <w:style w:type="character" w:styleId="WW8Num5z0" w:customStyle="1">
    <w:name w:val="WW8Num5z0"/>
    <w:qFormat/>
    <w:rPr>
      <w:b w:val="false"/>
    </w:rPr>
  </w:style>
  <w:style w:type="character" w:styleId="WW8Num5z1" w:customStyle="1">
    <w:name w:val="WW8Num5z1"/>
    <w:qFormat/>
    <w:rPr/>
  </w:style>
  <w:style w:type="character" w:styleId="WW8Num3z0" w:customStyle="1">
    <w:name w:val="WW8Num3z0"/>
    <w:qFormat/>
    <w:rPr/>
  </w:style>
  <w:style w:type="character" w:styleId="WW8Num3z2" w:customStyle="1">
    <w:name w:val="WW8Num3z2"/>
    <w:qFormat/>
    <w:rPr>
      <w:rFonts w:ascii="Symbol" w:hAnsi="Symbol" w:cs="Symbol"/>
      <w:color w:val="000000"/>
    </w:rPr>
  </w:style>
  <w:style w:type="character" w:styleId="WW8Num8z0" w:customStyle="1">
    <w:name w:val="WW8Num8z0"/>
    <w:qFormat/>
    <w:rPr>
      <w:rFonts w:ascii="Times New Roman" w:hAnsi="Times New Roman" w:cs="Times New Roman"/>
      <w:b w:val="false"/>
      <w:bCs w:val="false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2z0" w:customStyle="1">
    <w:name w:val="WW8Num2z0"/>
    <w:qFormat/>
    <w:rPr>
      <w:rFonts w:ascii="Symbol" w:hAnsi="Symbol" w:cs="Symbol"/>
    </w:rPr>
  </w:style>
  <w:style w:type="character" w:styleId="WW8Num10z0" w:customStyle="1">
    <w:name w:val="WW8Num10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9z0" w:customStyle="1">
    <w:name w:val="WW8Num9z0"/>
    <w:qFormat/>
    <w:rPr>
      <w:rFonts w:ascii="Symbol" w:hAnsi="Symbol" w:cs="Symbol"/>
    </w:rPr>
  </w:style>
  <w:style w:type="character" w:styleId="Style15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6" w:customStyle="1">
    <w:name w:val="Ссылка указателя"/>
    <w:qFormat/>
    <w:rPr/>
  </w:style>
  <w:style w:type="character" w:styleId="Linenumber">
    <w:name w:val="line number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523bb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Style19" w:customStyle="1">
    <w:name w:val="Колонтитул"/>
    <w:basedOn w:val="Normal"/>
    <w:qFormat/>
    <w:pPr/>
    <w:rPr/>
  </w:style>
  <w:style w:type="paragraph" w:styleId="Footer">
    <w:name w:val="Footer"/>
    <w:basedOn w:val="Normal"/>
    <w:link w:val="Style9"/>
    <w:uiPriority w:val="99"/>
    <w:rsid w:val="00d3773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"/>
    <w:uiPriority w:val="99"/>
    <w:semiHidden/>
    <w:unhideWhenUsed/>
    <w:qFormat/>
    <w:rsid w:val="00024e90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FootnoteText">
    <w:name w:val="Footnote Text"/>
    <w:basedOn w:val="Normal"/>
    <w:link w:val="Style10"/>
    <w:uiPriority w:val="99"/>
    <w:semiHidden/>
    <w:unhideWhenUsed/>
    <w:rsid w:val="00b27d80"/>
    <w:pPr>
      <w:spacing w:lineRule="auto" w:line="240" w:before="0" w:after="0"/>
    </w:pPr>
    <w:rPr>
      <w:sz w:val="20"/>
      <w:szCs w:val="20"/>
    </w:rPr>
  </w:style>
  <w:style w:type="paragraph" w:styleId="Header">
    <w:name w:val="Header"/>
    <w:basedOn w:val="Normal"/>
    <w:link w:val="Style12"/>
    <w:uiPriority w:val="99"/>
    <w:unhideWhenUsed/>
    <w:rsid w:val="00b27d8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Style13"/>
    <w:uiPriority w:val="99"/>
    <w:semiHidden/>
    <w:unhideWhenUsed/>
    <w:qFormat/>
    <w:rsid w:val="00850b0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4"/>
    <w:uiPriority w:val="99"/>
    <w:semiHidden/>
    <w:unhideWhenUsed/>
    <w:qFormat/>
    <w:rsid w:val="00850b00"/>
    <w:pPr/>
    <w:rPr>
      <w:b/>
      <w:bCs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 w:hanging="0"/>
      <w:jc w:val="center"/>
    </w:pPr>
    <w:rPr>
      <w:i/>
      <w:iCs/>
      <w:color w:val="5B9BD5"/>
    </w:rPr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284" w:leader="none"/>
        <w:tab w:val="left" w:pos="2718" w:leader="none"/>
      </w:tabs>
    </w:pPr>
    <w:rPr/>
  </w:style>
  <w:style w:type="paragraph" w:styleId="0" w:customStyle="1">
    <w:name w:val="Обычный + Перед:  0 пт"/>
    <w:basedOn w:val="Normal"/>
    <w:qFormat/>
    <w:pPr>
      <w:numPr>
        <w:ilvl w:val="0"/>
        <w:numId w:val="4"/>
      </w:numPr>
      <w:spacing w:lineRule="auto" w:line="312" w:before="0" w:after="0"/>
      <w:jc w:val="both"/>
    </w:pPr>
    <w:rPr>
      <w:rFonts w:ascii="Arial" w:hAnsi="Arial" w:eastAsia="Times New Roman" w:cs="Arial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3"/>
      <w:szCs w:val="23"/>
    </w:rPr>
  </w:style>
  <w:style w:type="numbering" w:styleId="NoList" w:default="1">
    <w:name w:val="No List"/>
    <w:uiPriority w:val="99"/>
    <w:semiHidden/>
    <w:unhideWhenUsed/>
    <w:qFormat/>
  </w:style>
  <w:style w:type="numbering" w:styleId="WW8Num5" w:customStyle="1">
    <w:name w:val="WW8Num5"/>
    <w:qFormat/>
  </w:style>
  <w:style w:type="numbering" w:styleId="WW8Num3" w:customStyle="1">
    <w:name w:val="WW8Num3"/>
    <w:qFormat/>
  </w:style>
  <w:style w:type="numbering" w:styleId="WW8Num8" w:customStyle="1">
    <w:name w:val="WW8Num8"/>
    <w:qFormat/>
  </w:style>
  <w:style w:type="numbering" w:styleId="WW8Num7" w:customStyle="1">
    <w:name w:val="WW8Num7"/>
    <w:qFormat/>
  </w:style>
  <w:style w:type="numbering" w:styleId="WW8Num2" w:customStyle="1">
    <w:name w:val="WW8Num2"/>
    <w:qFormat/>
  </w:style>
  <w:style w:type="numbering" w:styleId="WW8Num10" w:customStyle="1">
    <w:name w:val="WW8Num10"/>
    <w:qFormat/>
  </w:style>
  <w:style w:type="numbering" w:styleId="WW8Num4" w:customStyle="1">
    <w:name w:val="WW8Num4"/>
    <w:qFormat/>
  </w:style>
  <w:style w:type="numbering" w:styleId="WW8Num6" w:customStyle="1">
    <w:name w:val="WW8Num6"/>
    <w:qFormat/>
  </w:style>
  <w:style w:type="numbering" w:styleId="WW8Num9" w:customStyle="1">
    <w:name w:val="WW8Num9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DBF99-9272-4913-86EC-262CFA209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Application>AlterOffice/3.4.0.9$Linux_X86_64 LibreOffice_project/b8daf9e823b1a5463a2f48435ddc2e8696e7d4fc</Application>
  <AppVersion>15.0000</AppVersion>
  <Pages>9</Pages>
  <Words>1905</Words>
  <Characters>14404</Characters>
  <CharactersWithSpaces>16180</CharactersWithSpaces>
  <Paragraphs>117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2025-10-10T02:43:00Z</dcterms:created>
  <dc:creator>Соломатин Олег Юрьевич</dc:creator>
  <dc:description/>
  <dc:language>ru-RU</dc:language>
  <cp:lastModifiedBy>murinatv@corp.gidroogk.com</cp:lastModifiedBy>
  <dcterms:modified xsi:type="dcterms:W3CDTF">2026-05-27T08:59:49Z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